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9"/>
        <w:shd w:val="clear" w:color="auto" w:fill="auto"/>
        <w:spacing w:lineRule="auto" w:line="276"/>
        <w:ind w:hanging="4767" w:left="9020"/>
        <w:jc w:val="right"/>
        <w:rPr>
          <w:rStyle w:val="Style15"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keepNext w:val="true"/>
        <w:keepLines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на ОКПД2 [77.11.10] Аренда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8"/>
          <w:szCs w:val="28"/>
          <w:u w:val="none"/>
          <w:em w:val="none"/>
        </w:rPr>
        <w:t xml:space="preserve"> грузопассажирского ТС без экипажа (цельнометаллический)</w:t>
      </w:r>
      <w:r>
        <w:rPr>
          <w:rFonts w:eastAsia="Calibri"/>
          <w:sz w:val="28"/>
          <w:szCs w:val="28"/>
        </w:rPr>
        <w:t xml:space="preserve"> для нужд Дагестанского филиала </w:t>
      </w:r>
    </w:p>
    <w:p>
      <w:pPr>
        <w:pStyle w:val="Normal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АО «Гидроремонт-ВКК» в г. Махачкала</w:t>
      </w:r>
    </w:p>
    <w:p>
      <w:pPr>
        <w:pStyle w:val="Normal"/>
        <w:keepNext w:val="true"/>
        <w:keepLines/>
        <w:jc w:val="center"/>
        <w:rPr>
          <w:rFonts w:ascii="Times New Roman" w:hAnsi="Times New Roman"/>
          <w:b w:val="false"/>
        </w:rPr>
      </w:pPr>
      <w:r>
        <w:rPr>
          <w:rFonts w:eastAsia="Calibri"/>
          <w:b w:val="false"/>
          <w:bCs w:val="false"/>
          <w:sz w:val="28"/>
          <w:szCs w:val="28"/>
        </w:rPr>
        <w:t xml:space="preserve">Лот № </w:t>
      </w:r>
      <w:r>
        <w:rPr>
          <w:rFonts w:eastAsia="Calibri"/>
          <w:b w:val="false"/>
          <w:bCs w:val="false"/>
          <w:i w:val="false"/>
          <w:caps w:val="false"/>
          <w:smallCaps w:val="false"/>
          <w:color w:val="2C2D2E"/>
          <w:spacing w:val="0"/>
          <w:sz w:val="28"/>
          <w:szCs w:val="28"/>
        </w:rPr>
        <w:t>___________________________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10"/>
        </w:numPr>
        <w:tabs>
          <w:tab w:val="left" w:pos="0" w:leader="none"/>
          <w:tab w:val="left" w:pos="567" w:leader="none"/>
          <w:tab w:val="left" w:pos="851" w:leader="none"/>
        </w:tabs>
        <w:spacing w:before="120" w:after="0"/>
        <w:ind w:hanging="0" w:left="0"/>
        <w:rPr>
          <w:b/>
        </w:rPr>
      </w:pPr>
      <w:bookmarkStart w:id="0" w:name="_Toc54643694"/>
      <w:bookmarkStart w:id="1" w:name="_Toc157772671"/>
      <w:r>
        <w:rPr>
          <w:b/>
        </w:rPr>
        <w:t>Общие сведения</w:t>
      </w:r>
      <w:bookmarkEnd w:id="0"/>
      <w:bookmarkEnd w:id="1"/>
    </w:p>
    <w:p>
      <w:pPr>
        <w:pStyle w:val="Heading2"/>
        <w:numPr>
          <w:ilvl w:val="1"/>
          <w:numId w:val="10"/>
        </w:numPr>
        <w:tabs>
          <w:tab w:val="left" w:pos="0" w:leader="none"/>
          <w:tab w:val="left" w:pos="567" w:leader="none"/>
          <w:tab w:val="left" w:pos="851" w:leader="none"/>
        </w:tabs>
        <w:spacing w:before="120" w:after="0"/>
        <w:rPr>
          <w:b/>
          <w:sz w:val="28"/>
          <w:szCs w:val="28"/>
          <w:lang w:val="ru-RU"/>
        </w:rPr>
      </w:pPr>
      <w:bookmarkStart w:id="2" w:name="_Toc54643695"/>
      <w:bookmarkStart w:id="3" w:name="_Toc46743505"/>
      <w:bookmarkStart w:id="4" w:name="_Toc157772672"/>
      <w:r>
        <w:rPr>
          <w:b/>
          <w:sz w:val="28"/>
          <w:szCs w:val="28"/>
        </w:rPr>
        <w:t>Обозначения и сокращения</w:t>
      </w:r>
      <w:bookmarkEnd w:id="2"/>
      <w:bookmarkEnd w:id="3"/>
      <w:bookmarkEnd w:id="4"/>
      <w:r>
        <w:rPr>
          <w:b/>
          <w:sz w:val="28"/>
          <w:szCs w:val="28"/>
          <w:lang w:val="ru-RU"/>
        </w:rPr>
        <w:t>:</w:t>
      </w:r>
    </w:p>
    <w:tbl>
      <w:tblPr>
        <w:tblW w:w="99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766"/>
        <w:gridCol w:w="6204"/>
      </w:tblGrid>
      <w:tr>
        <w:trPr>
          <w:cantSplit w:val="true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Горюче-смазочные материалы</w:t>
            </w:r>
          </w:p>
        </w:tc>
      </w:tr>
      <w:tr>
        <w:trPr>
          <w:cantSplit w:val="true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</w:tr>
      <w:tr>
        <w:trPr>
          <w:cantSplit w:val="true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</w:tc>
      </w:tr>
    </w:tbl>
    <w:p>
      <w:pPr>
        <w:pStyle w:val="ListParagraph"/>
        <w:keepNext w:val="true"/>
        <w:numPr>
          <w:ilvl w:val="0"/>
          <w:numId w:val="3"/>
        </w:numPr>
        <w:tabs>
          <w:tab w:val="clear" w:pos="708"/>
          <w:tab w:val="left" w:pos="851" w:leader="none"/>
        </w:tabs>
        <w:spacing w:before="120" w:after="60"/>
        <w:contextualSpacing w:val="false"/>
        <w:jc w:val="both"/>
        <w:outlineLvl w:val="3"/>
        <w:rPr>
          <w:b/>
          <w:bCs/>
          <w:vanish/>
          <w:sz w:val="28"/>
          <w:szCs w:val="28"/>
          <w:lang w:val="x-none" w:eastAsia="x-none"/>
        </w:rPr>
      </w:pPr>
      <w:r>
        <w:rPr>
          <w:b/>
          <w:bCs/>
          <w:vanish/>
          <w:sz w:val="28"/>
          <w:szCs w:val="28"/>
          <w:lang w:val="x-none" w:eastAsia="x-none"/>
        </w:rPr>
      </w:r>
    </w:p>
    <w:p>
      <w:pPr>
        <w:pStyle w:val="ListParagraph"/>
        <w:keepNext w:val="true"/>
        <w:numPr>
          <w:ilvl w:val="1"/>
          <w:numId w:val="3"/>
        </w:numPr>
        <w:tabs>
          <w:tab w:val="clear" w:pos="708"/>
          <w:tab w:val="left" w:pos="851" w:leader="none"/>
        </w:tabs>
        <w:spacing w:before="120" w:after="60"/>
        <w:contextualSpacing w:val="false"/>
        <w:jc w:val="both"/>
        <w:outlineLvl w:val="3"/>
        <w:rPr>
          <w:b/>
          <w:bCs/>
          <w:vanish/>
          <w:sz w:val="28"/>
          <w:szCs w:val="28"/>
          <w:lang w:val="x-none" w:eastAsia="x-none"/>
        </w:rPr>
      </w:pPr>
      <w:r>
        <w:rPr>
          <w:b/>
          <w:bCs/>
          <w:vanish/>
          <w:sz w:val="28"/>
          <w:szCs w:val="28"/>
          <w:lang w:val="x-none" w:eastAsia="x-none"/>
        </w:rPr>
      </w:r>
    </w:p>
    <w:p>
      <w:pPr>
        <w:pStyle w:val="Heading4"/>
        <w:numPr>
          <w:ilvl w:val="1"/>
          <w:numId w:val="3"/>
        </w:numPr>
        <w:tabs>
          <w:tab w:val="clear" w:pos="0"/>
          <w:tab w:val="left" w:pos="851" w:leader="none"/>
          <w:tab w:val="left" w:pos="985" w:leader="none"/>
        </w:tabs>
        <w:ind w:hanging="432" w:left="567"/>
        <w:rPr>
          <w:b/>
          <w:sz w:val="28"/>
          <w:szCs w:val="28"/>
        </w:rPr>
      </w:pPr>
      <w:bookmarkStart w:id="5" w:name="_Toc46743506"/>
      <w:bookmarkStart w:id="6" w:name="_Toc54643696"/>
      <w:r>
        <w:rPr>
          <w:b/>
          <w:sz w:val="28"/>
          <w:szCs w:val="28"/>
        </w:rPr>
        <w:t>Наименование закупаемой продукции</w:t>
      </w:r>
      <w:bookmarkEnd w:id="5"/>
      <w:bookmarkEnd w:id="6"/>
      <w:r>
        <w:rPr>
          <w:b/>
          <w:sz w:val="28"/>
          <w:szCs w:val="28"/>
          <w:lang w:val="ru-RU"/>
        </w:rPr>
        <w:t>:</w:t>
      </w:r>
    </w:p>
    <w:p>
      <w:pPr>
        <w:pStyle w:val="Heading4"/>
        <w:numPr>
          <w:ilvl w:val="0"/>
          <w:numId w:val="0"/>
        </w:numPr>
        <w:tabs>
          <w:tab w:val="clear" w:pos="0"/>
          <w:tab w:val="left" w:pos="851" w:leader="none"/>
          <w:tab w:val="left" w:pos="985" w:leader="none"/>
        </w:tabs>
        <w:ind w:hanging="0" w:left="135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ОКПД2 [77.11.10] Аренда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8"/>
          <w:szCs w:val="28"/>
          <w:u w:val="none"/>
          <w:em w:val="none"/>
        </w:rPr>
        <w:t xml:space="preserve"> грузопассажирского ТС без экипажа (цельнометаллический)</w:t>
      </w:r>
      <w:r>
        <w:rPr>
          <w:rFonts w:eastAsia="Calibri"/>
          <w:sz w:val="28"/>
          <w:szCs w:val="28"/>
        </w:rPr>
        <w:t xml:space="preserve"> для нужд Дагестанского филиала </w:t>
      </w:r>
      <w:r>
        <w:rPr>
          <w:rFonts w:eastAsia="Calibri"/>
          <w:sz w:val="28"/>
          <w:szCs w:val="28"/>
          <w:lang w:val="ru-RU"/>
        </w:rPr>
        <w:t>АО «Гидроремонт-ВКК» в г. Махачкала</w:t>
      </w:r>
      <w:r>
        <w:rPr>
          <w:sz w:val="28"/>
          <w:szCs w:val="28"/>
          <w:lang w:val="ru-RU"/>
        </w:rPr>
        <w:t xml:space="preserve"> (далее – продукция).</w:t>
      </w:r>
    </w:p>
    <w:p>
      <w:pPr>
        <w:pStyle w:val="Heading4"/>
        <w:numPr>
          <w:ilvl w:val="1"/>
          <w:numId w:val="3"/>
        </w:numPr>
        <w:ind w:hanging="432" w:left="567"/>
        <w:rPr>
          <w:b/>
          <w:sz w:val="28"/>
          <w:szCs w:val="28"/>
        </w:rPr>
      </w:pPr>
      <w:bookmarkStart w:id="7" w:name="_Toc54643697"/>
      <w:bookmarkStart w:id="8" w:name="_Toc46743507"/>
      <w:r>
        <w:rPr>
          <w:b/>
          <w:sz w:val="28"/>
          <w:szCs w:val="28"/>
        </w:rPr>
        <w:t xml:space="preserve">Цель </w:t>
      </w:r>
      <w:bookmarkEnd w:id="8"/>
      <w:r>
        <w:rPr>
          <w:b/>
          <w:sz w:val="28"/>
          <w:szCs w:val="28"/>
        </w:rPr>
        <w:t>аренды:</w:t>
      </w:r>
      <w:bookmarkEnd w:id="7"/>
    </w:p>
    <w:p>
      <w:pPr>
        <w:pStyle w:val="Heading4"/>
        <w:tabs>
          <w:tab w:val="clear" w:pos="0"/>
          <w:tab w:val="left" w:pos="851" w:leader="none"/>
        </w:tabs>
        <w:ind w:hanging="0" w:left="135"/>
        <w:rPr/>
      </w:pPr>
      <w:r>
        <w:rPr>
          <w:rStyle w:val="Style8"/>
          <w:b w:val="false"/>
          <w:i w:val="false"/>
          <w:sz w:val="28"/>
          <w:szCs w:val="28"/>
          <w:shd w:fill="auto" w:val="clear"/>
          <w:lang w:val="ru-RU"/>
        </w:rPr>
        <w:t>Выполнение работ в рамках исполнения договоров</w:t>
      </w:r>
      <w:r>
        <w:rPr>
          <w:rStyle w:val="Style8"/>
          <w:b w:val="false"/>
          <w:i w:val="false"/>
          <w:sz w:val="28"/>
          <w:szCs w:val="28"/>
          <w:shd w:fill="auto" w:val="clear"/>
          <w:lang w:val="ru-RU"/>
        </w:rPr>
        <w:t xml:space="preserve"> подряда с ПАО «РусГидро».</w:t>
      </w:r>
    </w:p>
    <w:p>
      <w:pPr>
        <w:pStyle w:val="Heading4"/>
        <w:tabs>
          <w:tab w:val="clear" w:pos="0"/>
          <w:tab w:val="left" w:pos="851" w:leader="none"/>
        </w:tabs>
        <w:rPr>
          <w:rStyle w:val="Style8"/>
          <w:b w:val="false"/>
          <w:i w:val="false"/>
          <w:i w:val="false"/>
          <w:sz w:val="28"/>
          <w:szCs w:val="28"/>
          <w:shd w:fill="auto" w:val="clear"/>
          <w:lang w:val="ru-RU"/>
        </w:rPr>
      </w:pPr>
      <w:r>
        <w:rPr>
          <w:b w:val="false"/>
          <w:i w:val="false"/>
          <w:sz w:val="28"/>
          <w:szCs w:val="28"/>
          <w:shd w:fill="auto" w:val="clear"/>
          <w:lang w:val="ru-RU"/>
        </w:rPr>
      </w:r>
    </w:p>
    <w:p>
      <w:pPr>
        <w:pStyle w:val="Heading4"/>
        <w:tabs>
          <w:tab w:val="clear" w:pos="0"/>
          <w:tab w:val="left" w:pos="851" w:leader="none"/>
          <w:tab w:val="left" w:pos="993" w:leader="none"/>
        </w:tabs>
        <w:ind w:hanging="0" w:left="0"/>
        <w:rPr>
          <w:rStyle w:val="Style8"/>
          <w:b w:val="false"/>
          <w:i w:val="false"/>
          <w:i w:val="false"/>
          <w:color w:val="000000" w:themeColor="text1"/>
          <w:sz w:val="28"/>
        </w:rPr>
      </w:pPr>
      <w:bookmarkStart w:id="9" w:name="_Toc54643698"/>
      <w:bookmarkStart w:id="10" w:name="_Toc46743508"/>
      <w:r>
        <w:rPr>
          <w:b/>
          <w:sz w:val="28"/>
          <w:lang w:val="ru-RU"/>
        </w:rPr>
        <w:t xml:space="preserve">1.3. </w:t>
      </w:r>
      <w:r>
        <w:rPr>
          <w:b/>
          <w:sz w:val="28"/>
        </w:rPr>
        <w:t>Существующее положение</w:t>
      </w:r>
      <w:bookmarkEnd w:id="9"/>
      <w:bookmarkEnd w:id="10"/>
    </w:p>
    <w:p>
      <w:pPr>
        <w:pStyle w:val="Heading1"/>
        <w:tabs>
          <w:tab w:val="clear" w:pos="0"/>
          <w:tab w:val="left" w:pos="851" w:leader="none"/>
        </w:tabs>
        <w:ind w:hanging="0" w:left="0"/>
        <w:rPr/>
      </w:pPr>
      <w:bookmarkStart w:id="11" w:name="_Toc54643699"/>
      <w:r>
        <w:rPr/>
        <w:t>Таблица 1. Перечень объектов заказчика</w:t>
      </w:r>
      <w:bookmarkEnd w:id="11"/>
    </w:p>
    <w:tbl>
      <w:tblPr>
        <w:tblW w:w="991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2845"/>
        <w:gridCol w:w="2143"/>
        <w:gridCol w:w="4112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Место оказания услуг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Чирюртская ГЭС-1, Чирюртская ГЭС-2, Миатлинская ГЭС, Гельбахская ГЭС, Ирганайская ГЭС, Гоцатлинская ГЭС, Гунибская ГЭС, Гергебильская ГЭС,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База ГСО ПАО «РусГидро»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  <w:lang w:val="en-US"/>
              </w:rPr>
              <w:t>Республика Дагестан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4"/>
              <w:widowControl w:val="false"/>
              <w:spacing w:before="120" w:after="60"/>
              <w:ind w:hanging="0" w:left="135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en-US"/>
              </w:rPr>
              <w:t>ПС (краны козловые и мостовые) Дагестанского филиала ПАО “РусГидро”,</w:t>
            </w:r>
          </w:p>
          <w:p>
            <w:pPr>
              <w:pStyle w:val="Normal"/>
              <w:widowControl w:val="false"/>
              <w:spacing w:before="120" w:after="60"/>
              <w:ind w:hanging="0" w:left="135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en-US"/>
              </w:rPr>
              <w:t>Производственное оборудование Дагестанского филиала ПАО “РусГидро”</w:t>
            </w:r>
          </w:p>
        </w:tc>
      </w:tr>
    </w:tbl>
    <w:p>
      <w:pPr>
        <w:pStyle w:val="ListParagraph"/>
        <w:keepNext w:val="true"/>
        <w:numPr>
          <w:ilvl w:val="0"/>
          <w:numId w:val="9"/>
        </w:numPr>
        <w:tabs>
          <w:tab w:val="clear" w:pos="708"/>
          <w:tab w:val="left" w:pos="851" w:leader="none"/>
        </w:tabs>
        <w:spacing w:before="120" w:after="60"/>
        <w:contextualSpacing w:val="false"/>
        <w:jc w:val="both"/>
        <w:outlineLvl w:val="3"/>
        <w:rPr>
          <w:b/>
          <w:bCs/>
          <w:vanish/>
          <w:sz w:val="28"/>
          <w:szCs w:val="28"/>
          <w:lang w:val="x-none" w:eastAsia="x-none"/>
        </w:rPr>
      </w:pPr>
      <w:r>
        <w:rPr>
          <w:b/>
          <w:bCs/>
          <w:vanish/>
          <w:sz w:val="28"/>
          <w:szCs w:val="28"/>
          <w:lang w:val="x-none" w:eastAsia="x-none"/>
        </w:rPr>
      </w:r>
    </w:p>
    <w:p>
      <w:pPr>
        <w:pStyle w:val="ListParagraph"/>
        <w:keepNext w:val="true"/>
        <w:numPr>
          <w:ilvl w:val="1"/>
          <w:numId w:val="9"/>
        </w:numPr>
        <w:tabs>
          <w:tab w:val="clear" w:pos="708"/>
          <w:tab w:val="left" w:pos="851" w:leader="none"/>
        </w:tabs>
        <w:spacing w:before="120" w:after="60"/>
        <w:contextualSpacing w:val="false"/>
        <w:jc w:val="both"/>
        <w:outlineLvl w:val="3"/>
        <w:rPr>
          <w:b/>
          <w:bCs/>
          <w:vanish/>
          <w:sz w:val="28"/>
          <w:szCs w:val="28"/>
          <w:lang w:val="x-none" w:eastAsia="x-none"/>
        </w:rPr>
      </w:pPr>
      <w:r>
        <w:rPr>
          <w:b/>
          <w:bCs/>
          <w:vanish/>
          <w:sz w:val="28"/>
          <w:szCs w:val="28"/>
          <w:lang w:val="x-none" w:eastAsia="x-none"/>
        </w:rPr>
      </w:r>
    </w:p>
    <w:p>
      <w:pPr>
        <w:pStyle w:val="Heading4"/>
        <w:numPr>
          <w:ilvl w:val="1"/>
          <w:numId w:val="9"/>
        </w:numPr>
        <w:tabs>
          <w:tab w:val="clear" w:pos="0"/>
          <w:tab w:val="left" w:pos="851" w:leader="none"/>
        </w:tabs>
        <w:ind w:hanging="720"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в отношении исполнения договора, </w:t>
      </w:r>
      <w:bookmarkStart w:id="12" w:name="_Hlk46492347"/>
      <w:r>
        <w:rPr>
          <w:b/>
          <w:sz w:val="28"/>
          <w:szCs w:val="28"/>
        </w:rPr>
        <w:t xml:space="preserve">которая должна быть учтена при подготовке заявки </w:t>
      </w:r>
      <w:bookmarkEnd w:id="12"/>
      <w:r>
        <w:rPr>
          <w:b/>
          <w:sz w:val="28"/>
          <w:szCs w:val="28"/>
        </w:rPr>
        <w:t xml:space="preserve">(в том числе перечень ресурсов, услуг и документов, предоставляемых </w:t>
      </w:r>
      <w:r>
        <w:rPr>
          <w:b/>
          <w:sz w:val="28"/>
          <w:szCs w:val="28"/>
          <w:lang w:val="ru-RU"/>
        </w:rPr>
        <w:t>заказчиком</w:t>
      </w:r>
      <w:r>
        <w:rPr>
          <w:b/>
          <w:sz w:val="28"/>
          <w:szCs w:val="28"/>
        </w:rPr>
        <w:t xml:space="preserve"> на этапе исполнения договора)</w:t>
      </w:r>
      <w:bookmarkStart w:id="13" w:name="_Hlk48209761"/>
      <w:r>
        <w:rPr>
          <w:b/>
          <w:sz w:val="28"/>
          <w:szCs w:val="28"/>
          <w:lang w:val="ru-RU"/>
        </w:rPr>
        <w:t xml:space="preserve">: </w:t>
      </w:r>
    </w:p>
    <w:p>
      <w:pPr>
        <w:pStyle w:val="Heading3"/>
        <w:tabs>
          <w:tab w:val="clear" w:pos="0"/>
          <w:tab w:val="left" w:pos="851" w:leader="none"/>
          <w:tab w:val="left" w:pos="993" w:leader="none"/>
        </w:tabs>
        <w:ind w:hanging="0" w:left="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1.4.1. Арендатор </w:t>
      </w:r>
      <w:r>
        <w:rPr>
          <w:sz w:val="28"/>
          <w:szCs w:val="28"/>
        </w:rPr>
        <w:t xml:space="preserve">планирует использовать (применять) технику в соответствии с номенклатурой (согласно </w:t>
      </w:r>
      <w:r>
        <w:rPr>
          <w:sz w:val="28"/>
          <w:szCs w:val="28"/>
          <w:lang w:val="ru-RU"/>
        </w:rPr>
        <w:t>табл.2</w:t>
      </w:r>
      <w:r>
        <w:rPr>
          <w:sz w:val="28"/>
          <w:szCs w:val="28"/>
        </w:rPr>
        <w:t>. настоящих Технических требований)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</w:t>
      </w:r>
    </w:p>
    <w:p>
      <w:pPr>
        <w:pStyle w:val="Heading1"/>
        <w:numPr>
          <w:ilvl w:val="0"/>
          <w:numId w:val="12"/>
        </w:numPr>
        <w:tabs>
          <w:tab w:val="clear" w:pos="0"/>
          <w:tab w:val="left" w:pos="567" w:leader="none"/>
          <w:tab w:val="left" w:pos="851" w:leader="none"/>
        </w:tabs>
        <w:spacing w:before="120" w:after="0"/>
        <w:rPr>
          <w:b/>
          <w:caps/>
          <w:szCs w:val="24"/>
          <w:lang w:val="ru-RU"/>
        </w:rPr>
      </w:pPr>
      <w:bookmarkStart w:id="14" w:name="_Toc157772678"/>
      <w:r>
        <w:rPr>
          <w:b/>
          <w:szCs w:val="24"/>
          <w:lang w:val="ru-RU"/>
        </w:rPr>
        <w:t>Требования</w:t>
      </w:r>
      <w:r>
        <w:rPr>
          <w:b/>
          <w:szCs w:val="24"/>
        </w:rPr>
        <w:t xml:space="preserve"> к продукции</w:t>
      </w:r>
      <w:bookmarkEnd w:id="14"/>
    </w:p>
    <w:p>
      <w:pPr>
        <w:pStyle w:val="Heading2"/>
        <w:numPr>
          <w:ilvl w:val="1"/>
          <w:numId w:val="13"/>
        </w:numPr>
        <w:tabs>
          <w:tab w:val="clear" w:pos="0"/>
          <w:tab w:val="left" w:pos="567" w:leader="none"/>
          <w:tab w:val="left" w:pos="851" w:leader="none"/>
        </w:tabs>
        <w:spacing w:before="120" w:after="0"/>
        <w:rPr>
          <w:b/>
          <w:sz w:val="28"/>
        </w:rPr>
      </w:pPr>
      <w:bookmarkStart w:id="15" w:name="_Toc157772679"/>
      <w:r>
        <w:rPr>
          <w:b/>
          <w:sz w:val="28"/>
        </w:rPr>
        <w:t xml:space="preserve">Требования к объемам и срокам </w:t>
      </w:r>
      <w:r>
        <w:rPr>
          <w:b/>
          <w:sz w:val="28"/>
          <w:lang w:val="ru-RU"/>
        </w:rPr>
        <w:t>аренды</w:t>
      </w:r>
      <w:bookmarkEnd w:id="15"/>
    </w:p>
    <w:p>
      <w:pPr>
        <w:pStyle w:val="Heading2"/>
        <w:numPr>
          <w:ilvl w:val="1"/>
          <w:numId w:val="13"/>
        </w:numPr>
        <w:tabs>
          <w:tab w:val="clear" w:pos="0"/>
          <w:tab w:val="left" w:pos="567" w:leader="none"/>
          <w:tab w:val="left" w:pos="851" w:leader="none"/>
        </w:tabs>
        <w:spacing w:before="120" w:after="0"/>
        <w:rPr>
          <w:b/>
          <w:sz w:val="28"/>
        </w:rPr>
      </w:pPr>
      <w:bookmarkStart w:id="16" w:name="_Toc157772680"/>
      <w:bookmarkStart w:id="17" w:name="_Toc54643704"/>
      <w:r>
        <w:rPr>
          <w:b/>
          <w:sz w:val="28"/>
        </w:rPr>
        <w:t xml:space="preserve">Требования к перечню и объему </w:t>
      </w:r>
      <w:bookmarkEnd w:id="17"/>
      <w:r>
        <w:rPr>
          <w:b/>
          <w:sz w:val="28"/>
        </w:rPr>
        <w:t>аренды</w:t>
      </w:r>
      <w:bookmarkEnd w:id="16"/>
    </w:p>
    <w:p>
      <w:pPr>
        <w:pStyle w:val="Heading1"/>
        <w:ind w:hanging="426" w:left="426"/>
        <w:jc w:val="left"/>
        <w:rPr>
          <w:b/>
          <w:szCs w:val="24"/>
        </w:rPr>
      </w:pPr>
      <w:bookmarkStart w:id="18" w:name="_Toc157772681"/>
      <w:r>
        <w:rPr>
          <w:b/>
          <w:szCs w:val="24"/>
        </w:rPr>
        <w:t>Таблица 2. Перечень и объем аренды</w:t>
      </w:r>
      <w:bookmarkEnd w:id="18"/>
    </w:p>
    <w:tbl>
      <w:tblPr>
        <w:tblW w:w="966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3"/>
        <w:gridCol w:w="1992"/>
        <w:gridCol w:w="3088"/>
        <w:gridCol w:w="1568"/>
        <w:gridCol w:w="2526"/>
      </w:tblGrid>
      <w:tr>
        <w:trPr>
          <w:trHeight w:val="857" w:hRule="atLeast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техники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характеристикам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426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426" w:leader="none"/>
              </w:tabs>
              <w:ind w:hanging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единиц техники</w:t>
            </w:r>
          </w:p>
        </w:tc>
      </w:tr>
      <w:tr>
        <w:trPr>
          <w:trHeight w:val="351" w:hRule="atLeast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478" w:hRule="atLeast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ind w:hanging="183" w:left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Грузопассажирское ТС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position w:val="0"/>
                <w:sz w:val="24"/>
                <w:sz w:val="24"/>
                <w:szCs w:val="24"/>
                <w:vertAlign w:val="baseline"/>
                <w:lang w:val="ru-RU" w:bidi="ar-SA"/>
              </w:rPr>
            </w:pPr>
            <w:r>
              <w:rPr>
                <w:rFonts w:eastAsia="Times New Roman" w:cs="Times New Roman"/>
                <w:bCs/>
                <w:kern w:val="0"/>
                <w:position w:val="0"/>
                <w:sz w:val="24"/>
                <w:sz w:val="24"/>
                <w:szCs w:val="24"/>
                <w:vertAlign w:val="baseline"/>
                <w:lang w:val="ru-RU" w:bidi="ar-SA"/>
              </w:rPr>
              <w:t>Грузоподъемность — не менее 900 кг, грузовой отсек закрытого типа (цельнометаллический), количество пассажирских мест — не менее 4, размеры грузового отсека д/ш/в — не менее 130см/840см/132см, возможность погрузки — сзади, наличие замка на двери грузового отсека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</w:tbl>
    <w:p>
      <w:pPr>
        <w:pStyle w:val="Heading3"/>
        <w:numPr>
          <w:ilvl w:val="2"/>
          <w:numId w:val="13"/>
        </w:numPr>
        <w:tabs>
          <w:tab w:val="clear" w:pos="0"/>
          <w:tab w:val="left" w:pos="567" w:leader="none"/>
          <w:tab w:val="left" w:pos="851" w:leader="none"/>
        </w:tabs>
        <w:spacing w:before="120" w:after="0"/>
        <w:rPr>
          <w:b/>
          <w:sz w:val="28"/>
        </w:rPr>
      </w:pPr>
      <w:bookmarkStart w:id="19" w:name="_Toc157772682"/>
      <w:bookmarkEnd w:id="13"/>
      <w:r>
        <w:rPr>
          <w:b/>
          <w:sz w:val="28"/>
        </w:rPr>
        <w:t>Требования к срокам аренды</w:t>
      </w:r>
      <w:bookmarkEnd w:id="19"/>
    </w:p>
    <w:p>
      <w:pPr>
        <w:pStyle w:val="Heading1"/>
        <w:ind w:hanging="426" w:left="426"/>
        <w:rPr>
          <w:b/>
          <w:szCs w:val="24"/>
          <w:lang w:val="ru-RU"/>
        </w:rPr>
      </w:pPr>
      <w:bookmarkStart w:id="20" w:name="_Toc157772683"/>
      <w:bookmarkStart w:id="21" w:name="_Toc51339697"/>
      <w:bookmarkStart w:id="22" w:name="_Toc50125127"/>
      <w:bookmarkStart w:id="23" w:name="_Toc54643707"/>
      <w:r>
        <w:rPr>
          <w:b/>
          <w:szCs w:val="24"/>
        </w:rPr>
        <w:t xml:space="preserve">Таблица </w:t>
      </w:r>
      <w:r>
        <w:rPr>
          <w:b/>
          <w:szCs w:val="24"/>
          <w:lang w:val="ru-RU"/>
        </w:rPr>
        <w:t>3</w:t>
      </w:r>
      <w:r>
        <w:rPr>
          <w:b/>
          <w:szCs w:val="24"/>
        </w:rPr>
        <w:t xml:space="preserve">. </w:t>
      </w:r>
      <w:bookmarkStart w:id="24" w:name="_Hlk50465284"/>
      <w:r>
        <w:rPr>
          <w:b/>
          <w:szCs w:val="24"/>
        </w:rPr>
        <w:t xml:space="preserve">Требования </w:t>
      </w:r>
      <w:r>
        <w:rPr>
          <w:b/>
          <w:szCs w:val="24"/>
          <w:lang w:val="ru-RU"/>
        </w:rPr>
        <w:t>к</w:t>
      </w:r>
      <w:r>
        <w:rPr>
          <w:b/>
          <w:szCs w:val="24"/>
        </w:rPr>
        <w:t xml:space="preserve"> срокам </w:t>
      </w:r>
      <w:bookmarkEnd w:id="21"/>
      <w:bookmarkEnd w:id="22"/>
      <w:bookmarkEnd w:id="23"/>
      <w:bookmarkEnd w:id="24"/>
      <w:r>
        <w:rPr>
          <w:b/>
          <w:szCs w:val="24"/>
          <w:lang w:val="ru-RU"/>
        </w:rPr>
        <w:t>аренды</w:t>
      </w:r>
      <w:bookmarkEnd w:id="20"/>
    </w:p>
    <w:p>
      <w:pPr>
        <w:pStyle w:val="Heading1"/>
        <w:tabs>
          <w:tab w:val="clear" w:pos="0"/>
          <w:tab w:val="left" w:pos="851" w:leader="none"/>
        </w:tabs>
        <w:ind w:hanging="0" w:left="0"/>
        <w:rPr/>
      </w:pPr>
      <w:r>
        <w:rPr/>
      </w:r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49"/>
        <w:gridCol w:w="4849"/>
        <w:gridCol w:w="1995"/>
        <w:gridCol w:w="2116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техники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аренды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аренды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Грузопассажирское ТС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12.08.2026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31.12.2026г.*</w:t>
            </w:r>
          </w:p>
        </w:tc>
      </w:tr>
    </w:tbl>
    <w:p>
      <w:pPr>
        <w:pStyle w:val="Normal"/>
        <w:rPr>
          <w:i/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* данный срок установлен исходя из сроков, указанных в доходных договорах, согласно пункта 1.3.</w:t>
      </w:r>
    </w:p>
    <w:p>
      <w:pPr>
        <w:pStyle w:val="Heading2"/>
        <w:numPr>
          <w:ilvl w:val="1"/>
          <w:numId w:val="13"/>
        </w:numPr>
        <w:tabs>
          <w:tab w:val="clear" w:pos="0"/>
          <w:tab w:val="left" w:pos="567" w:leader="none"/>
          <w:tab w:val="left" w:pos="851" w:leader="none"/>
        </w:tabs>
        <w:spacing w:before="120" w:after="0"/>
        <w:rPr>
          <w:b/>
          <w:sz w:val="28"/>
        </w:rPr>
      </w:pPr>
      <w:bookmarkStart w:id="25" w:name="_Toc157772684"/>
      <w:r>
        <w:rPr>
          <w:b/>
          <w:sz w:val="28"/>
        </w:rPr>
        <w:t xml:space="preserve">Требования к </w:t>
      </w:r>
      <w:r>
        <w:rPr>
          <w:b/>
          <w:sz w:val="28"/>
          <w:lang w:val="ru-RU"/>
        </w:rPr>
        <w:t>качеству арендованных транспортных средств</w:t>
      </w:r>
      <w:bookmarkEnd w:id="25"/>
    </w:p>
    <w:p>
      <w:pPr>
        <w:pStyle w:val="Heading1"/>
        <w:ind w:hanging="426" w:left="426"/>
        <w:jc w:val="left"/>
        <w:rPr>
          <w:b/>
          <w:szCs w:val="24"/>
        </w:rPr>
      </w:pPr>
      <w:bookmarkStart w:id="26" w:name="_Toc157772685"/>
      <w:r>
        <w:rPr>
          <w:b/>
          <w:szCs w:val="24"/>
        </w:rPr>
        <w:t>Таблица </w:t>
      </w:r>
      <w:r>
        <w:rPr>
          <w:b/>
          <w:szCs w:val="24"/>
          <w:lang w:val="ru-RU"/>
        </w:rPr>
        <w:t>4</w:t>
      </w:r>
      <w:r>
        <w:rPr>
          <w:b/>
          <w:szCs w:val="24"/>
        </w:rPr>
        <w:t xml:space="preserve">. Требования к </w:t>
      </w:r>
      <w:r>
        <w:rPr>
          <w:b/>
          <w:szCs w:val="24"/>
          <w:lang w:val="ru-RU"/>
        </w:rPr>
        <w:t>качеству арендованных транспортных средств</w:t>
      </w:r>
      <w:bookmarkEnd w:id="26"/>
    </w:p>
    <w:p>
      <w:pPr>
        <w:pStyle w:val="Normal"/>
        <w:rPr>
          <w:b/>
          <w:iCs/>
          <w:szCs w:val="24"/>
          <w:shd w:fill="FFFF99" w:val="clear"/>
        </w:rPr>
      </w:pPr>
      <w:r>
        <w:rPr>
          <w:b/>
          <w:bCs/>
          <w:szCs w:val="24"/>
        </w:rPr>
        <w:t xml:space="preserve">Наименование: </w:t>
      </w:r>
      <w:r>
        <w:rPr>
          <w:b/>
          <w:color w:val="000000" w:themeColor="text1"/>
          <w:szCs w:val="24"/>
        </w:rPr>
        <w:t xml:space="preserve">в соответствии с Таблицей 2 ТТ «Перечень и объем аренды» </w:t>
      </w:r>
    </w:p>
    <w:p>
      <w:pPr>
        <w:pStyle w:val="Normal"/>
        <w:rPr/>
      </w:pPr>
      <w:r>
        <w:rPr/>
      </w:r>
    </w:p>
    <w:tbl>
      <w:tblPr>
        <w:tblStyle w:val="affffa"/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7"/>
        <w:gridCol w:w="2144"/>
        <w:gridCol w:w="6930"/>
      </w:tblGrid>
      <w:tr>
        <w:trPr>
          <w:trHeight w:val="705" w:hRule="atLeast"/>
        </w:trPr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1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bookmarkStart w:id="27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27"/>
          </w:p>
        </w:tc>
        <w:tc>
          <w:tcPr>
            <w:tcW w:w="21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07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аренде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1.1.</w:t>
            </w:r>
          </w:p>
        </w:tc>
        <w:tc>
          <w:tcPr>
            <w:tcW w:w="21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 к предоставляемой технике</w:t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должен иметь технику для исполнения договора в собственности или на праве аренды материально-технических ресурсов (машин и механизмов, специальных приспособлений и инструментов)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07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аренды</w:t>
            </w:r>
          </w:p>
        </w:tc>
      </w:tr>
      <w:tr>
        <w:trPr/>
        <w:tc>
          <w:tcPr>
            <w:tcW w:w="84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2.1.</w:t>
            </w:r>
          </w:p>
        </w:tc>
        <w:tc>
          <w:tcPr>
            <w:tcW w:w="2144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Арендодателя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производит страхование Техники</w:t>
            </w:r>
          </w:p>
        </w:tc>
      </w:tr>
      <w:tr>
        <w:trPr/>
        <w:tc>
          <w:tcPr>
            <w:tcW w:w="84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44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lang w:val="x-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обязан предоставить все необходимые документы на ТС (свидетельство о регистрации транспортного средства, паспорт транспортного средства, диагностическую карту, страховой полис) и комплект ключей.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07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предоставлении в аренду транспортным средствам</w:t>
            </w:r>
          </w:p>
        </w:tc>
      </w:tr>
      <w:tr>
        <w:trPr>
          <w:trHeight w:val="1390" w:hRule="atLeast"/>
        </w:trPr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3.1.</w:t>
            </w:r>
          </w:p>
        </w:tc>
        <w:tc>
          <w:tcPr>
            <w:tcW w:w="21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техники законодательству РФ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ТС должны соответствовать требованиям безопасности, общим требованиям, установленным «ГОСТ 25646-95. Эксплуатация строительных машин. Общие требования», ГОСТ 33997-2016 «Колесные транспортные средства. Требования к безопасности в эксплуатации и методы проверки»</w:t>
            </w:r>
          </w:p>
        </w:tc>
      </w:tr>
      <w:tr>
        <w:trPr/>
        <w:tc>
          <w:tcPr>
            <w:tcW w:w="84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3.2.</w:t>
            </w:r>
          </w:p>
        </w:tc>
        <w:tc>
          <w:tcPr>
            <w:tcW w:w="2144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техническому состоянию Техники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Предоставлять технически исправную Технику, прошедшую в установленном порядке государственный технический осмотр.</w:t>
            </w:r>
          </w:p>
        </w:tc>
      </w:tr>
      <w:tr>
        <w:trPr/>
        <w:tc>
          <w:tcPr>
            <w:tcW w:w="84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1224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44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Содержание (мойка (по мере необходимости), техническое обслуживание и ремонт, в том числе приобретение запасных частей, шин, расходных материалов) заправка смазочными материалами автотранспорта осуществляется силами и средствами Арендодателя, в том числе все виды обязательного страхования, предусмотренные законодательством РФ для оказания вышеперечисленных услуг.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Затраты на топливо производятся за счет Арендатора.</w:t>
            </w:r>
          </w:p>
        </w:tc>
      </w:tr>
      <w:tr>
        <w:trPr>
          <w:trHeight w:val="64" w:hRule="atLeast"/>
        </w:trPr>
        <w:tc>
          <w:tcPr>
            <w:tcW w:w="84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07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арендодатора документации, определяемой видами услуг (помимо указанных в других разделах ТТ)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4.1.</w:t>
            </w:r>
          </w:p>
        </w:tc>
        <w:tc>
          <w:tcPr>
            <w:tcW w:w="21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ТС законодательству РФ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должен соблюдать законодательство РФ при эксплуатации, обслуживании и предоставлении техники передаваемой Арендатору.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07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Арендодателя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5.1.</w:t>
            </w:r>
          </w:p>
        </w:tc>
        <w:tc>
          <w:tcPr>
            <w:tcW w:w="21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Обязанности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Арендодателя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обязан нести все расходы, связанные с эксплуатацией техники, включая, но не ограничиваясь  оплату горюче-смазочных материалов и эксплуатационных жидкостей, оплату ремонта и запасных частей для спецтехники, оплату стоимости налоговых пошлин, страховых сборов, оплату штрафов, и иных расходов, возникающих в связи с эксплуатацией техники.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Затраты на топливо производятся за счет Арендатора.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074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Арендодателю и его обязательствам, влияющим на исполнение договора</w:t>
            </w:r>
          </w:p>
        </w:tc>
      </w:tr>
      <w:tr>
        <w:trPr/>
        <w:tc>
          <w:tcPr>
            <w:tcW w:w="84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6.1.</w:t>
            </w:r>
          </w:p>
        </w:tc>
        <w:tc>
          <w:tcPr>
            <w:tcW w:w="214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Обязанности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Арендодателя</w:t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Арендодатель обязан при невозможности предоставления техники, согласованной в Заявке (ДТП, постановка в ремонт / на техническое обслуживание, угон ТС, иные причины) незамедлительно уведомить об этом Заказчика и по согласованию с Заказчиком предоставить подменную технику с аналогичными техническими характеристиками, соответствующими условиям Договора и на условиях, согласованных в Заявках.</w:t>
            </w:r>
          </w:p>
        </w:tc>
      </w:tr>
      <w:tr>
        <w:trPr/>
        <w:tc>
          <w:tcPr>
            <w:tcW w:w="84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1224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случае поломки техники Арендатор уведомляет Арендодателя посредством телефонной связи.</w:t>
            </w:r>
          </w:p>
        </w:tc>
      </w:tr>
      <w:tr>
        <w:trPr/>
        <w:tc>
          <w:tcPr>
            <w:tcW w:w="84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1224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После уведомления о неисправности техники Арендодатель обязан в течении 24 часов устранить неисправность или предоставить технику с аналогичными характеристиками.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07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оказанию услуг</w:t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7.1.</w:t>
            </w:r>
          </w:p>
        </w:tc>
        <w:tc>
          <w:tcPr>
            <w:tcW w:w="21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Стоимость за 1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месяц</w:t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Стоимость 1 месяца является фиксированной и постоянной на протяжении всего срока действия договора.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За неполный месяц оплата производится пропорционально, фактически использованному времени.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737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418" w:hanging="432"/>
      </w:pPr>
      <w:rPr>
        <w:sz w:val="28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788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7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8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9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9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7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-13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-9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-147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-23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-281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-330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-415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-4640" w:hanging="21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8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i w:val="false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5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257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3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a20b6f"/>
    <w:pPr>
      <w:keepNext w:val="true"/>
      <w:tabs>
        <w:tab w:val="clear" w:pos="708"/>
        <w:tab w:val="left" w:pos="0" w:leader="none"/>
        <w:tab w:val="left" w:pos="851" w:leader="none"/>
      </w:tabs>
      <w:spacing w:before="120" w:after="60"/>
      <w:ind w:hanging="0" w:left="567"/>
      <w:jc w:val="both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a20b6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Основной текст_"/>
    <w:link w:val="19"/>
    <w:uiPriority w:val="99"/>
    <w:qFormat/>
    <w:locked/>
    <w:rsid w:val="008e58aa"/>
    <w:rPr>
      <w:sz w:val="28"/>
      <w:szCs w:val="28"/>
      <w:shd w:fill="FFFFFF" w:val="clear"/>
    </w:rPr>
  </w:style>
  <w:style w:type="character" w:styleId="Style15" w:customStyle="1">
    <w:name w:val="Основной текст + Малые прописные"/>
    <w:uiPriority w:val="99"/>
    <w:qFormat/>
    <w:rsid w:val="008e58aa"/>
    <w:rPr>
      <w:rFonts w:ascii="Times New Roman" w:hAnsi="Times New Roman" w:cs="Times New Roman"/>
      <w:smallCaps/>
      <w:color w:val="000000"/>
      <w:spacing w:val="0"/>
      <w:w w:val="100"/>
      <w:sz w:val="28"/>
      <w:szCs w:val="28"/>
      <w:u w:val="none"/>
      <w:lang w:val="ru-RU" w:bidi="ar-SA"/>
    </w:rPr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hanging="0" w:left="36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hanging="0" w:left="28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hanging="0" w:left="196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hanging="0" w:left="84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hanging="0" w:left="56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1" w:customStyle="1">
    <w:name w:val="caption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  <w:tab w:val="left" w:pos="851" w:leader="none"/>
      </w:tabs>
      <w:spacing w:before="480" w:after="240"/>
      <w:ind w:hanging="567" w:left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hanging="0" w:left="112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hanging="0" w:left="140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hanging="0" w:left="168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9" w:customStyle="1">
    <w:name w:val="Основной текст1"/>
    <w:basedOn w:val="Normal"/>
    <w:link w:val="Style14"/>
    <w:uiPriority w:val="99"/>
    <w:qFormat/>
    <w:rsid w:val="008e58aa"/>
    <w:pPr>
      <w:widowControl w:val="false"/>
      <w:shd w:val="clear" w:color="auto" w:fill="FFFFFF"/>
      <w:spacing w:lineRule="exact" w:line="302"/>
    </w:pPr>
    <w:rPr/>
  </w:style>
  <w:style w:type="paragraph" w:styleId="Default" w:customStyle="1">
    <w:name w:val="Default"/>
    <w:qFormat/>
    <w:rsid w:val="008e58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yle38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33EBE-4594-4F62-92C2-55D15EBB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Application>AlterOffice/2026.1.1.1$Linux_X86_64 LibreOffice_project/3e21501661f60bfec03e40427f644625fc6a58b7</Application>
  <AppVersion>15.0000</AppVersion>
  <Pages>4</Pages>
  <Words>742</Words>
  <Characters>5294</Characters>
  <CharactersWithSpaces>5912</CharactersWithSpaces>
  <Paragraphs>126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2024-07-02T12:56:00Z</dcterms:created>
  <dc:creator>Быстров Олег Геннадьевич</dc:creator>
  <dc:description/>
  <dc:language>ru-RU</dc:language>
  <cp:lastModifiedBy>sunkulievaa@corp.gidroogk.com</cp:lastModifiedBy>
  <cp:lastPrinted>2026-01-27T13:49:37Z</cp:lastPrinted>
  <dcterms:modified xsi:type="dcterms:W3CDTF">2026-08-05T09:29:41Z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